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60" w:rsidRPr="002B699B" w:rsidRDefault="002B699B" w:rsidP="002B6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B699B">
        <w:rPr>
          <w:b/>
          <w:noProof/>
          <w:u w:val="single"/>
          <w:lang w:eastAsia="fr-FR"/>
        </w:rPr>
        <w:t>Activité 5</w:t>
      </w:r>
      <w:r w:rsidRPr="002B699B">
        <w:rPr>
          <w:b/>
          <w:noProof/>
          <w:lang w:eastAsia="fr-FR"/>
        </w:rPr>
        <w:t> : L’origine des règles</w:t>
      </w:r>
    </w:p>
    <w:p w:rsidR="002B699B" w:rsidRDefault="002B699B" w:rsidP="002B699B">
      <w:pPr>
        <w:pStyle w:val="Sansinterligne"/>
      </w:pPr>
    </w:p>
    <w:tbl>
      <w:tblPr>
        <w:tblStyle w:val="Grilledutableau"/>
        <w:tblW w:w="8866" w:type="dxa"/>
        <w:tblLook w:val="04A0" w:firstRow="1" w:lastRow="0" w:firstColumn="1" w:lastColumn="0" w:noHBand="0" w:noVBand="1"/>
      </w:tblPr>
      <w:tblGrid>
        <w:gridCol w:w="4786"/>
        <w:gridCol w:w="1207"/>
        <w:gridCol w:w="1359"/>
        <w:gridCol w:w="1514"/>
      </w:tblGrid>
      <w:tr w:rsidR="002B699B" w:rsidTr="002B699B">
        <w:tc>
          <w:tcPr>
            <w:tcW w:w="4786" w:type="dxa"/>
          </w:tcPr>
          <w:p w:rsidR="002B699B" w:rsidRDefault="002B699B" w:rsidP="002B699B">
            <w:pPr>
              <w:pStyle w:val="Sansinterligne"/>
            </w:pPr>
            <w:r>
              <w:t>Capacités travaillées</w:t>
            </w:r>
          </w:p>
        </w:tc>
        <w:tc>
          <w:tcPr>
            <w:tcW w:w="1207" w:type="dxa"/>
          </w:tcPr>
          <w:p w:rsidR="002B699B" w:rsidRDefault="002B699B" w:rsidP="002B699B">
            <w:pPr>
              <w:pStyle w:val="Sansinterligne"/>
            </w:pPr>
            <w:r>
              <w:t>acquis</w:t>
            </w:r>
          </w:p>
        </w:tc>
        <w:tc>
          <w:tcPr>
            <w:tcW w:w="1359" w:type="dxa"/>
          </w:tcPr>
          <w:p w:rsidR="002B699B" w:rsidRDefault="002B699B" w:rsidP="002B699B">
            <w:pPr>
              <w:pStyle w:val="Sansinterligne"/>
            </w:pPr>
            <w:r>
              <w:t>En voie d’acquisition</w:t>
            </w:r>
          </w:p>
        </w:tc>
        <w:tc>
          <w:tcPr>
            <w:tcW w:w="1514" w:type="dxa"/>
          </w:tcPr>
          <w:p w:rsidR="002B699B" w:rsidRDefault="002B699B" w:rsidP="002B699B">
            <w:pPr>
              <w:pStyle w:val="Sansinterligne"/>
            </w:pPr>
            <w:r>
              <w:t>Non acquis</w:t>
            </w:r>
          </w:p>
        </w:tc>
      </w:tr>
      <w:tr w:rsidR="002B699B" w:rsidTr="002B699B">
        <w:tc>
          <w:tcPr>
            <w:tcW w:w="4786" w:type="dxa"/>
          </w:tcPr>
          <w:p w:rsidR="002B699B" w:rsidRDefault="002B699B" w:rsidP="002B699B">
            <w:pPr>
              <w:pStyle w:val="Sansinterligne"/>
            </w:pPr>
            <w:r>
              <w:t>- rédiger en bon français</w:t>
            </w:r>
          </w:p>
        </w:tc>
        <w:tc>
          <w:tcPr>
            <w:tcW w:w="1207" w:type="dxa"/>
          </w:tcPr>
          <w:p w:rsidR="002B699B" w:rsidRDefault="002B699B" w:rsidP="002B699B">
            <w:pPr>
              <w:pStyle w:val="Sansinterligne"/>
            </w:pPr>
          </w:p>
        </w:tc>
        <w:tc>
          <w:tcPr>
            <w:tcW w:w="1359" w:type="dxa"/>
          </w:tcPr>
          <w:p w:rsidR="002B699B" w:rsidRDefault="002B699B" w:rsidP="002B699B">
            <w:pPr>
              <w:pStyle w:val="Sansinterligne"/>
            </w:pPr>
          </w:p>
        </w:tc>
        <w:tc>
          <w:tcPr>
            <w:tcW w:w="1514" w:type="dxa"/>
          </w:tcPr>
          <w:p w:rsidR="002B699B" w:rsidRDefault="002B699B" w:rsidP="002B699B">
            <w:pPr>
              <w:pStyle w:val="Sansinterligne"/>
            </w:pPr>
          </w:p>
        </w:tc>
      </w:tr>
      <w:tr w:rsidR="002B699B" w:rsidTr="002B699B">
        <w:tc>
          <w:tcPr>
            <w:tcW w:w="4786" w:type="dxa"/>
          </w:tcPr>
          <w:p w:rsidR="002B699B" w:rsidRDefault="002B699B" w:rsidP="002B699B">
            <w:pPr>
              <w:pStyle w:val="Sansinterligne"/>
            </w:pPr>
            <w:r>
              <w:t>- repérer les hypothèses</w:t>
            </w:r>
          </w:p>
        </w:tc>
        <w:tc>
          <w:tcPr>
            <w:tcW w:w="1207" w:type="dxa"/>
          </w:tcPr>
          <w:p w:rsidR="002B699B" w:rsidRDefault="002B699B" w:rsidP="002B699B">
            <w:pPr>
              <w:pStyle w:val="Sansinterligne"/>
            </w:pPr>
          </w:p>
        </w:tc>
        <w:tc>
          <w:tcPr>
            <w:tcW w:w="1359" w:type="dxa"/>
          </w:tcPr>
          <w:p w:rsidR="002B699B" w:rsidRDefault="002B699B" w:rsidP="002B699B">
            <w:pPr>
              <w:pStyle w:val="Sansinterligne"/>
            </w:pPr>
          </w:p>
        </w:tc>
        <w:tc>
          <w:tcPr>
            <w:tcW w:w="1514" w:type="dxa"/>
          </w:tcPr>
          <w:p w:rsidR="002B699B" w:rsidRDefault="002B699B" w:rsidP="002B699B">
            <w:pPr>
              <w:pStyle w:val="Sansinterligne"/>
            </w:pPr>
          </w:p>
        </w:tc>
      </w:tr>
      <w:tr w:rsidR="002B699B" w:rsidTr="002B699B">
        <w:tc>
          <w:tcPr>
            <w:tcW w:w="4786" w:type="dxa"/>
          </w:tcPr>
          <w:p w:rsidR="002B699B" w:rsidRDefault="002B699B" w:rsidP="002B699B">
            <w:pPr>
              <w:pStyle w:val="Sansinterligne"/>
            </w:pPr>
            <w:r>
              <w:t>- démontrer</w:t>
            </w:r>
          </w:p>
        </w:tc>
        <w:tc>
          <w:tcPr>
            <w:tcW w:w="1207" w:type="dxa"/>
          </w:tcPr>
          <w:p w:rsidR="002B699B" w:rsidRDefault="002B699B" w:rsidP="002B699B">
            <w:pPr>
              <w:pStyle w:val="Sansinterligne"/>
            </w:pPr>
          </w:p>
        </w:tc>
        <w:tc>
          <w:tcPr>
            <w:tcW w:w="1359" w:type="dxa"/>
          </w:tcPr>
          <w:p w:rsidR="002B699B" w:rsidRDefault="002B699B" w:rsidP="002B699B">
            <w:pPr>
              <w:pStyle w:val="Sansinterligne"/>
            </w:pPr>
          </w:p>
        </w:tc>
        <w:tc>
          <w:tcPr>
            <w:tcW w:w="1514" w:type="dxa"/>
          </w:tcPr>
          <w:p w:rsidR="002B699B" w:rsidRDefault="002B699B" w:rsidP="002B699B">
            <w:pPr>
              <w:pStyle w:val="Sansinterligne"/>
            </w:pPr>
          </w:p>
        </w:tc>
      </w:tr>
    </w:tbl>
    <w:p w:rsidR="002B699B" w:rsidRDefault="002B699B" w:rsidP="002B699B">
      <w:pPr>
        <w:pStyle w:val="Sansinterligne"/>
      </w:pPr>
    </w:p>
    <w:p w:rsidR="002B699B" w:rsidRDefault="002B699B" w:rsidP="002B699B">
      <w:pPr>
        <w:pStyle w:val="Sansinterligne"/>
      </w:pPr>
    </w:p>
    <w:p w:rsidR="002B699B" w:rsidRDefault="002B699B" w:rsidP="002B699B">
      <w:pPr>
        <w:pStyle w:val="Sansinterligne"/>
      </w:pPr>
      <w:r>
        <w:t>En sortant du cours de SVT sur la puberté, des élèves s'interrogent sur l'origine du sang des règles.</w:t>
      </w:r>
    </w:p>
    <w:p w:rsidR="002B699B" w:rsidRDefault="002B699B" w:rsidP="002B699B">
      <w:pPr>
        <w:pStyle w:val="Sansinterligne"/>
      </w:pPr>
      <w:r>
        <w:t>Léa : « Pour moi, c'est le vagin qui saigne !»</w:t>
      </w:r>
    </w:p>
    <w:p w:rsidR="002B699B" w:rsidRDefault="002B699B" w:rsidP="002B699B">
      <w:pPr>
        <w:pStyle w:val="Sansinterligne"/>
      </w:pPr>
      <w:r>
        <w:t>Aminata : « N'importe quoi ! C'est l'ovule qui saigne et qui est détruit ! »</w:t>
      </w:r>
    </w:p>
    <w:p w:rsidR="002B699B" w:rsidRDefault="002B699B" w:rsidP="002B699B">
      <w:pPr>
        <w:pStyle w:val="Sansinterligne"/>
      </w:pPr>
      <w:r>
        <w:t>Kenny : « Mais non c'est la paroi de l'utérus qui se déchire. »</w:t>
      </w:r>
    </w:p>
    <w:p w:rsidR="002B699B" w:rsidRDefault="002B699B" w:rsidP="002B699B">
      <w:pPr>
        <w:pStyle w:val="Sansinterligne"/>
      </w:pPr>
      <w:r>
        <w:t>Kevin : « En cours, moi j'ai compris que c'est la paroi de l'ovaire qui se déchire au moment de l'ovulation!»</w:t>
      </w:r>
    </w:p>
    <w:p w:rsidR="002B699B" w:rsidRDefault="002B699B" w:rsidP="002B699B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</w:t>
      </w:r>
    </w:p>
    <w:p w:rsidR="002B699B" w:rsidRDefault="002B699B" w:rsidP="002B699B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81"/>
        </w:rPr>
      </w:pPr>
    </w:p>
    <w:p w:rsidR="002B699B" w:rsidRPr="002B699B" w:rsidRDefault="002B699B" w:rsidP="002B699B">
      <w:pPr>
        <w:pStyle w:val="Sansinterligne"/>
        <w:rPr>
          <w:b/>
          <w:u w:val="single"/>
        </w:rPr>
      </w:pPr>
      <w:r w:rsidRPr="002B699B">
        <w:rPr>
          <w:b/>
          <w:u w:val="single"/>
        </w:rPr>
        <w:t>Consigne :</w:t>
      </w:r>
    </w:p>
    <w:p w:rsidR="002B699B" w:rsidRPr="002B699B" w:rsidRDefault="002B699B" w:rsidP="002B699B">
      <w:pPr>
        <w:pStyle w:val="Sansinterligne"/>
        <w:rPr>
          <w:b/>
        </w:rPr>
      </w:pPr>
      <w:r w:rsidRPr="002B699B">
        <w:rPr>
          <w:b/>
        </w:rPr>
        <w:t>Tu es le 5</w:t>
      </w:r>
      <w:r w:rsidRPr="002B699B">
        <w:rPr>
          <w:b/>
          <w:vertAlign w:val="superscript"/>
        </w:rPr>
        <w:t>ème</w:t>
      </w:r>
      <w:r w:rsidRPr="002B699B">
        <w:rPr>
          <w:b/>
        </w:rPr>
        <w:t xml:space="preserve"> élève de cette classe à prendre part à la discussion : démontre à chacun de </w:t>
      </w:r>
      <w:r>
        <w:rPr>
          <w:b/>
        </w:rPr>
        <w:t>tes camarades pourquoi il a tort</w:t>
      </w:r>
      <w:r w:rsidR="00C22115">
        <w:rPr>
          <w:b/>
        </w:rPr>
        <w:t xml:space="preserve"> ou raison</w:t>
      </w:r>
      <w:r w:rsidRPr="002B699B">
        <w:rPr>
          <w:b/>
        </w:rPr>
        <w:t xml:space="preserve"> en utilisant les documents suivants</w:t>
      </w:r>
      <w:r w:rsidR="00C22115">
        <w:rPr>
          <w:b/>
        </w:rPr>
        <w:t>. N’oublie pas de faire une conclusion pour être sûr que tes amis aient bien compris.</w:t>
      </w:r>
    </w:p>
    <w:p w:rsidR="002B699B" w:rsidRDefault="002B699B" w:rsidP="002B699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  </w:t>
      </w:r>
    </w:p>
    <w:p w:rsidR="002B699B" w:rsidRPr="002B699B" w:rsidRDefault="002B699B" w:rsidP="002B699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Symbol" w:hAnsi="Symbol" w:cs="Symbol"/>
          <w:color w:val="000000"/>
        </w:rPr>
        <w:t></w:t>
      </w:r>
    </w:p>
    <w:p w:rsidR="002B699B" w:rsidRDefault="002B699B" w:rsidP="002B699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Document 1 : schéma de l’appareil reproducteur féminin et activité cyclique de l’utérus</w:t>
      </w:r>
    </w:p>
    <w:p w:rsidR="002B699B" w:rsidRDefault="002B699B" w:rsidP="002B699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Document 2 : texte sur l’évolution de la paroi du vagin au cours du cycle féminin</w:t>
      </w:r>
    </w:p>
    <w:p w:rsidR="002B699B" w:rsidRDefault="002B699B" w:rsidP="002B699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Document 3 : calendrier des règles et calendrier des ovulations d’une jeune fille</w:t>
      </w:r>
    </w:p>
    <w:p w:rsidR="002B699B" w:rsidRDefault="002B699B" w:rsidP="002B699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Document 4 : photographie d'ovulation</w:t>
      </w:r>
    </w:p>
    <w:p w:rsidR="002B699B" w:rsidRDefault="002B699B" w:rsidP="002B699B">
      <w:pPr>
        <w:rPr>
          <w:rFonts w:ascii="Symbol" w:hAnsi="Symbol" w:cs="Symbol"/>
          <w:color w:val="000000"/>
        </w:rPr>
      </w:pPr>
    </w:p>
    <w:p w:rsidR="002B699B" w:rsidRDefault="002B699B" w:rsidP="002B699B">
      <w:pPr>
        <w:rPr>
          <w:rFonts w:ascii="Symbol" w:hAnsi="Symbol" w:cs="Symbol"/>
          <w:color w:val="000000"/>
        </w:rPr>
      </w:pPr>
    </w:p>
    <w:p w:rsidR="002B699B" w:rsidRDefault="002B699B" w:rsidP="002B699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Aides</w:t>
      </w:r>
      <w:proofErr w:type="gramEnd"/>
      <w:r>
        <w:t> :</w:t>
      </w:r>
    </w:p>
    <w:p w:rsidR="002B699B" w:rsidRDefault="002B699B" w:rsidP="002B699B">
      <w:pPr>
        <w:pStyle w:val="Sansinterligne"/>
      </w:pPr>
    </w:p>
    <w:p w:rsidR="002B699B" w:rsidRPr="002B699B" w:rsidRDefault="002B699B" w:rsidP="002B699B">
      <w:pPr>
        <w:pStyle w:val="Sansinterligne"/>
        <w:rPr>
          <w:b/>
        </w:rPr>
      </w:pPr>
      <w:r w:rsidRPr="002B699B">
        <w:rPr>
          <w:b/>
        </w:rPr>
        <w:t>Niveau 1 : - 1 point</w:t>
      </w:r>
    </w:p>
    <w:p w:rsidR="002B699B" w:rsidRDefault="002B699B" w:rsidP="002B699B">
      <w:pPr>
        <w:pStyle w:val="Sansinterligne"/>
      </w:pPr>
      <w:r>
        <w:t>- Identifie les 4 hypothèses formulées par ces 4 élèves.</w:t>
      </w:r>
    </w:p>
    <w:p w:rsidR="002B699B" w:rsidRDefault="002B699B" w:rsidP="002B699B">
      <w:pPr>
        <w:pStyle w:val="Sansinterligne"/>
      </w:pPr>
      <w:r>
        <w:t>- Retrouve le document qui permet de résoudre chacune de ces hypothèses.</w:t>
      </w:r>
    </w:p>
    <w:p w:rsidR="002B699B" w:rsidRDefault="002B699B" w:rsidP="002B699B">
      <w:pPr>
        <w:pStyle w:val="Sansinterligne"/>
      </w:pPr>
    </w:p>
    <w:p w:rsidR="002B699B" w:rsidRPr="002B699B" w:rsidRDefault="002B699B" w:rsidP="002B699B">
      <w:pPr>
        <w:pStyle w:val="Sansinterligne"/>
        <w:rPr>
          <w:b/>
        </w:rPr>
      </w:pPr>
      <w:r w:rsidRPr="002B699B">
        <w:rPr>
          <w:b/>
        </w:rPr>
        <w:t>Niveau 2 :</w:t>
      </w:r>
      <w:r w:rsidRPr="002B699B">
        <w:rPr>
          <w:b/>
        </w:rPr>
        <w:t xml:space="preserve"> -2 points</w:t>
      </w:r>
    </w:p>
    <w:p w:rsidR="002B699B" w:rsidRDefault="002B699B" w:rsidP="002B699B">
      <w:pPr>
        <w:pStyle w:val="Sansinterligne"/>
      </w:pPr>
      <w:r>
        <w:t>- Pour vérifier l'hypothèse de Léa, utilise le doc 2,</w:t>
      </w:r>
    </w:p>
    <w:p w:rsidR="002B699B" w:rsidRDefault="002B699B" w:rsidP="002B699B">
      <w:pPr>
        <w:pStyle w:val="Sansinterligne"/>
      </w:pPr>
      <w:r>
        <w:t>- Pour vérifier l'hypothèse d’Aminata, utilise le doc 4,</w:t>
      </w:r>
    </w:p>
    <w:p w:rsidR="002B699B" w:rsidRDefault="002B699B" w:rsidP="002B699B">
      <w:pPr>
        <w:pStyle w:val="Sansinterligne"/>
      </w:pPr>
      <w:r>
        <w:t>- Pour vérifier l'hypothèse de Kenny, utilise le doc 1,</w:t>
      </w:r>
    </w:p>
    <w:p w:rsidR="002B699B" w:rsidRDefault="002B699B" w:rsidP="002B699B">
      <w:pPr>
        <w:pStyle w:val="Sansinterligne"/>
      </w:pPr>
      <w:r>
        <w:t>- Pour vérifier l'hypothèse de Kevin, utilise le doc 3.</w:t>
      </w:r>
    </w:p>
    <w:p w:rsidR="002B699B" w:rsidRDefault="002B699B" w:rsidP="002B699B">
      <w:pPr>
        <w:pStyle w:val="Sansinterligne"/>
      </w:pPr>
    </w:p>
    <w:p w:rsidR="002B699B" w:rsidRPr="002B699B" w:rsidRDefault="002B699B" w:rsidP="002B699B">
      <w:pPr>
        <w:pStyle w:val="Sansinterligne"/>
        <w:rPr>
          <w:b/>
        </w:rPr>
      </w:pPr>
      <w:r w:rsidRPr="002B699B">
        <w:rPr>
          <w:b/>
        </w:rPr>
        <w:t>Niveau 3 : -3,5 points</w:t>
      </w:r>
    </w:p>
    <w:p w:rsidR="002B699B" w:rsidRDefault="002B699B" w:rsidP="002B699B">
      <w:pPr>
        <w:pStyle w:val="Sansinterligne"/>
      </w:pPr>
      <w:r w:rsidRPr="002B699B">
        <w:rPr>
          <w:u w:val="single"/>
        </w:rPr>
        <w:t>Doc 1</w:t>
      </w:r>
      <w:r>
        <w:t xml:space="preserve"> :</w:t>
      </w:r>
      <w:r>
        <w:t xml:space="preserve"> </w:t>
      </w:r>
      <w:r>
        <w:t>Compare l'épaisseur de la muqueuse avant / après les règles.</w:t>
      </w:r>
    </w:p>
    <w:p w:rsidR="002B699B" w:rsidRDefault="002B699B" w:rsidP="002B699B">
      <w:pPr>
        <w:pStyle w:val="Sansinterligne"/>
      </w:pPr>
      <w:r w:rsidRPr="002B699B">
        <w:rPr>
          <w:u w:val="single"/>
        </w:rPr>
        <w:t xml:space="preserve">Doc 2 </w:t>
      </w:r>
      <w:r>
        <w:t>: Trouve deux arguments dans le texte montrant que le sang des règles ne provient pas d'un saignement du</w:t>
      </w:r>
      <w:r>
        <w:t xml:space="preserve"> </w:t>
      </w:r>
      <w:r>
        <w:t>vagin.</w:t>
      </w:r>
    </w:p>
    <w:p w:rsidR="002B699B" w:rsidRDefault="002B699B" w:rsidP="002B699B">
      <w:pPr>
        <w:pStyle w:val="Sansinterligne"/>
      </w:pPr>
      <w:r w:rsidRPr="002B699B">
        <w:rPr>
          <w:u w:val="single"/>
        </w:rPr>
        <w:t>Doc 3</w:t>
      </w:r>
      <w:r>
        <w:t xml:space="preserve"> :</w:t>
      </w:r>
      <w:r>
        <w:t xml:space="preserve"> </w:t>
      </w:r>
    </w:p>
    <w:p w:rsidR="002B699B" w:rsidRDefault="002B699B" w:rsidP="002B699B">
      <w:pPr>
        <w:pStyle w:val="Sansinterligne"/>
      </w:pPr>
      <w:r>
        <w:t>- Repère la période des règles.</w:t>
      </w:r>
    </w:p>
    <w:p w:rsidR="002B699B" w:rsidRDefault="002B699B" w:rsidP="002B699B">
      <w:pPr>
        <w:pStyle w:val="Sansinterligne"/>
      </w:pPr>
      <w:r>
        <w:t>- Repère la période d'ovulation.</w:t>
      </w:r>
    </w:p>
    <w:p w:rsidR="002B699B" w:rsidRDefault="002B699B" w:rsidP="002B699B">
      <w:pPr>
        <w:pStyle w:val="Sansinterligne"/>
      </w:pPr>
      <w:r>
        <w:t>- Compare les dates d'apparition de ces deux évènements majeurs du cycle féminin.</w:t>
      </w:r>
    </w:p>
    <w:p w:rsidR="002B699B" w:rsidRDefault="002B699B" w:rsidP="002B699B">
      <w:pPr>
        <w:pStyle w:val="Sansinterligne"/>
      </w:pPr>
      <w:r>
        <w:t>- Que peux-tu en déduire ?</w:t>
      </w:r>
    </w:p>
    <w:p w:rsidR="002B699B" w:rsidRDefault="002B699B" w:rsidP="002B699B">
      <w:pPr>
        <w:pStyle w:val="Sansinterligne"/>
      </w:pPr>
      <w:r w:rsidRPr="002B699B">
        <w:rPr>
          <w:u w:val="single"/>
        </w:rPr>
        <w:t>Doc 4</w:t>
      </w:r>
      <w:r>
        <w:t xml:space="preserve"> : que peux-tu dire de la taille d’un ovule ?</w:t>
      </w:r>
      <w:bookmarkStart w:id="0" w:name="_GoBack"/>
      <w:bookmarkEnd w:id="0"/>
    </w:p>
    <w:sectPr w:rsidR="002B699B" w:rsidSect="002B699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9B"/>
    <w:rsid w:val="002B699B"/>
    <w:rsid w:val="00AA5C92"/>
    <w:rsid w:val="00AF5B60"/>
    <w:rsid w:val="00C22115"/>
    <w:rsid w:val="00C8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699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B699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B6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699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B699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B6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2013-05-17T19:45:00Z</dcterms:created>
  <dcterms:modified xsi:type="dcterms:W3CDTF">2013-05-17T20:14:00Z</dcterms:modified>
</cp:coreProperties>
</file>