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ook w:val="00A0"/>
      </w:tblPr>
      <w:tblGrid>
        <w:gridCol w:w="9212"/>
      </w:tblGrid>
      <w:tr w:rsidR="00675746" w:rsidRPr="00C35906">
        <w:tc>
          <w:tcPr>
            <w:tcW w:w="9212" w:type="dxa"/>
          </w:tcPr>
          <w:p w:rsidR="00675746" w:rsidRPr="00C35906" w:rsidRDefault="00675746" w:rsidP="00C35906">
            <w:pPr>
              <w:spacing w:after="0" w:line="240" w:lineRule="auto"/>
              <w:rPr>
                <w:color w:val="00B050"/>
              </w:rPr>
            </w:pPr>
            <w:r>
              <w:rPr>
                <w:color w:val="00B050"/>
              </w:rPr>
              <w:t xml:space="preserve">Activité </w:t>
            </w:r>
            <w:r w:rsidRPr="00C35906">
              <w:rPr>
                <w:color w:val="00B050"/>
              </w:rPr>
              <w:t> : l’équilibre alimentaire</w:t>
            </w:r>
          </w:p>
        </w:tc>
      </w:tr>
    </w:tbl>
    <w:p w:rsidR="00675746" w:rsidRDefault="00675746"/>
    <w:p w:rsidR="00675746" w:rsidRDefault="00675746">
      <w:pPr>
        <w:rPr>
          <w:u w:val="single"/>
        </w:rPr>
      </w:pPr>
    </w:p>
    <w:p w:rsidR="00675746" w:rsidRPr="00F519B4" w:rsidRDefault="00675746">
      <w:pPr>
        <w:rPr>
          <w:u w:val="single"/>
        </w:rPr>
      </w:pPr>
      <w:r w:rsidRPr="00317F38">
        <w:rPr>
          <w:u w:val="single"/>
        </w:rPr>
        <w:t>Exercice 1 :</w:t>
      </w:r>
    </w:p>
    <w:p w:rsidR="00675746" w:rsidRDefault="00675746">
      <w:pPr>
        <w:rPr>
          <w:noProof/>
          <w:lang w:eastAsia="fr-FR"/>
        </w:rPr>
      </w:pPr>
      <w:r>
        <w:rPr>
          <w:noProof/>
          <w:lang w:eastAsia="fr-FR"/>
        </w:rPr>
        <w:t>A la cantine du collège Diderot, les élèves peuvent choisir l’entrée, les légumes, le dessert, tandis que la viande est la même pour tous.</w:t>
      </w:r>
    </w:p>
    <w:p w:rsidR="00675746" w:rsidRDefault="00675746">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53pt;height:83.25pt;visibility:visible">
            <v:imagedata r:id="rId5" o:title=""/>
          </v:shape>
        </w:pict>
      </w:r>
    </w:p>
    <w:p w:rsidR="00675746" w:rsidRDefault="00675746">
      <w:pPr>
        <w:rPr>
          <w:noProof/>
          <w:lang w:eastAsia="fr-FR"/>
        </w:rPr>
      </w:pPr>
      <w:r>
        <w:rPr>
          <w:noProof/>
          <w:lang w:eastAsia="fr-FR"/>
        </w:rPr>
        <w:t>Voici le contenu du plateau de Laura : salami, poulet, frites, camembert, pain, ananas, verre d’eau. Sa copine Malika a choisi de prendre : les carottes râpées, les haricots verts, un yaourt et une pomme.</w:t>
      </w:r>
    </w:p>
    <w:p w:rsidR="00675746" w:rsidRDefault="00675746">
      <w:pPr>
        <w:rPr>
          <w:b/>
          <w:bCs/>
          <w:noProof/>
          <w:lang w:eastAsia="fr-FR"/>
        </w:rPr>
      </w:pPr>
      <w:r w:rsidRPr="007800BC">
        <w:rPr>
          <w:b/>
          <w:bCs/>
          <w:noProof/>
          <w:lang w:eastAsia="fr-FR"/>
        </w:rPr>
        <w:t>Q1. Calculer l’apport énergétique de son déjeuner.</w:t>
      </w:r>
    </w:p>
    <w:p w:rsidR="00675746" w:rsidRDefault="00675746">
      <w:pPr>
        <w:rPr>
          <w:b/>
          <w:bCs/>
          <w:noProof/>
          <w:lang w:eastAsia="fr-FR"/>
        </w:rPr>
      </w:pPr>
      <w:r>
        <w:rPr>
          <w:b/>
          <w:bCs/>
          <w:noProof/>
          <w:lang w:eastAsia="fr-FR"/>
        </w:rPr>
        <w:t>Q2.Comparer avec l’apport énergétique de Malika.</w:t>
      </w:r>
    </w:p>
    <w:p w:rsidR="00675746" w:rsidRPr="007800BC" w:rsidRDefault="00675746">
      <w:pPr>
        <w:rPr>
          <w:b/>
          <w:bCs/>
          <w:noProof/>
          <w:lang w:eastAsia="fr-FR"/>
        </w:rPr>
      </w:pPr>
      <w:r>
        <w:rPr>
          <w:b/>
          <w:bCs/>
          <w:noProof/>
          <w:lang w:eastAsia="fr-FR"/>
        </w:rPr>
        <w:t>Q3. L’apport énergétique nécessaire pour une adolescente est en moyenne de 10 000 kJ. Sachant que le déjeuner doit représenter 30% des apports quotidiens, indiquer quel repas correspond le mieux aux besoins d’une adolescente.</w:t>
      </w:r>
    </w:p>
    <w:p w:rsidR="00675746" w:rsidRDefault="00675746" w:rsidP="00F519B4">
      <w:pPr>
        <w:rPr>
          <w:u w:val="single"/>
        </w:rPr>
      </w:pPr>
    </w:p>
    <w:p w:rsidR="00675746" w:rsidRDefault="00675746" w:rsidP="00F519B4">
      <w:pPr>
        <w:rPr>
          <w:u w:val="single"/>
        </w:rPr>
      </w:pPr>
    </w:p>
    <w:p w:rsidR="00675746" w:rsidRPr="00317F38" w:rsidRDefault="00675746" w:rsidP="00F519B4">
      <w:pPr>
        <w:rPr>
          <w:u w:val="single"/>
        </w:rPr>
      </w:pPr>
      <w:r>
        <w:rPr>
          <w:u w:val="single"/>
        </w:rPr>
        <w:t>Exercice 2</w:t>
      </w:r>
      <w:r w:rsidRPr="00317F38">
        <w:rPr>
          <w:u w:val="single"/>
        </w:rPr>
        <w:t> :</w:t>
      </w:r>
    </w:p>
    <w:p w:rsidR="00675746" w:rsidRDefault="00675746">
      <w:pPr>
        <w:rPr>
          <w:noProof/>
          <w:lang w:eastAsia="fr-FR"/>
        </w:rPr>
      </w:pPr>
      <w:r>
        <w:rPr>
          <w:noProof/>
          <w:lang w:eastAsia="fr-FR"/>
        </w:rPr>
        <w:t>Voici ce qu’ont mangé, en une journée, Julie, Pascaline et Déborah (13 ans) :</w:t>
      </w:r>
    </w:p>
    <w:p w:rsidR="00675746" w:rsidRDefault="00675746">
      <w:r>
        <w:rPr>
          <w:noProof/>
          <w:lang w:eastAsia="fr-FR"/>
        </w:rPr>
        <w:pict>
          <v:shape id="_x0000_i1026" type="#_x0000_t75" style="width:450.75pt;height:207pt;visibility:visible">
            <v:imagedata r:id="rId6" o:title=""/>
          </v:shape>
        </w:pict>
      </w:r>
    </w:p>
    <w:p w:rsidR="00675746" w:rsidRDefault="00675746" w:rsidP="00F519B4">
      <w:pPr>
        <w:rPr>
          <w:b/>
          <w:bCs/>
        </w:rPr>
      </w:pPr>
      <w:r>
        <w:rPr>
          <w:b/>
          <w:bCs/>
        </w:rPr>
        <w:t xml:space="preserve">Q1. </w:t>
      </w:r>
      <w:r w:rsidRPr="00F519B4">
        <w:rPr>
          <w:b/>
          <w:bCs/>
        </w:rPr>
        <w:t>Calculer la quantité de kilocalories consommées par chacune.</w:t>
      </w:r>
    </w:p>
    <w:p w:rsidR="00675746" w:rsidRDefault="00675746" w:rsidP="00F519B4">
      <w:pPr>
        <w:rPr>
          <w:b/>
          <w:bCs/>
        </w:rPr>
      </w:pPr>
      <w:r>
        <w:rPr>
          <w:b/>
          <w:bCs/>
        </w:rPr>
        <w:t xml:space="preserve">Q2. </w:t>
      </w:r>
      <w:r w:rsidRPr="00F519B4">
        <w:rPr>
          <w:b/>
          <w:bCs/>
        </w:rPr>
        <w:t>Sachant qu’à leur âge leurs besoins énergétiques varient entre 1600 et 2200 kcal par jour, expliquer</w:t>
      </w:r>
      <w:r>
        <w:rPr>
          <w:b/>
          <w:bCs/>
        </w:rPr>
        <w:t>,</w:t>
      </w:r>
      <w:r w:rsidRPr="00F519B4">
        <w:rPr>
          <w:b/>
          <w:bCs/>
        </w:rPr>
        <w:t xml:space="preserve"> pour chaque jeune fille</w:t>
      </w:r>
      <w:r>
        <w:rPr>
          <w:b/>
          <w:bCs/>
        </w:rPr>
        <w:t>,</w:t>
      </w:r>
      <w:r w:rsidRPr="00F519B4">
        <w:rPr>
          <w:b/>
          <w:bCs/>
        </w:rPr>
        <w:t xml:space="preserve"> si le bilan énergétique est équilibré ou déséquilibré.</w:t>
      </w:r>
    </w:p>
    <w:p w:rsidR="00675746" w:rsidRDefault="00675746" w:rsidP="00F519B4">
      <w:pPr>
        <w:rPr>
          <w:b/>
          <w:bCs/>
        </w:rPr>
      </w:pPr>
    </w:p>
    <w:p w:rsidR="00675746" w:rsidRPr="00F519B4" w:rsidRDefault="00675746" w:rsidP="00F519B4">
      <w:pPr>
        <w:rPr>
          <w:b/>
          <w:bCs/>
        </w:rPr>
      </w:pPr>
      <w:r>
        <w:rPr>
          <w:noProof/>
          <w:lang w:eastAsia="fr-FR"/>
        </w:rPr>
        <w:pict>
          <v:rect id="_x0000_s1026" style="position:absolute;margin-left:335.15pt;margin-top:36pt;width:182.4pt;height:122.45pt;z-index:251658240">
            <v:textbox>
              <w:txbxContent>
                <w:p w:rsidR="00675746" w:rsidRPr="00F519B4" w:rsidRDefault="00675746" w:rsidP="00F519B4">
                  <w:pPr>
                    <w:jc w:val="center"/>
                    <w:rPr>
                      <w:rStyle w:val="Strong"/>
                      <w:rFonts w:ascii="Verdana" w:hAnsi="Verdana" w:cs="Verdana"/>
                      <w:b w:val="0"/>
                      <w:bCs w:val="0"/>
                      <w:i/>
                      <w:iCs/>
                      <w:sz w:val="18"/>
                      <w:szCs w:val="18"/>
                      <w:u w:val="single"/>
                    </w:rPr>
                  </w:pPr>
                  <w:r w:rsidRPr="006D0351">
                    <w:rPr>
                      <w:rStyle w:val="Strong"/>
                      <w:rFonts w:ascii="Verdana" w:hAnsi="Verdana" w:cs="Verdana"/>
                      <w:b w:val="0"/>
                      <w:bCs w:val="0"/>
                      <w:i/>
                      <w:iCs/>
                      <w:sz w:val="18"/>
                      <w:szCs w:val="18"/>
                      <w:u w:val="single"/>
                    </w:rPr>
                    <w:t>Interprétation de l’IMC :</w:t>
                  </w:r>
                </w:p>
                <w:p w:rsidR="00675746" w:rsidRPr="006D0351" w:rsidRDefault="00675746" w:rsidP="00F519B4">
                  <w:pPr>
                    <w:rPr>
                      <w:b/>
                      <w:bCs/>
                      <w:i/>
                      <w:iCs/>
                      <w:sz w:val="18"/>
                      <w:szCs w:val="18"/>
                    </w:rPr>
                  </w:pPr>
                  <w:r w:rsidRPr="006D0351">
                    <w:rPr>
                      <w:rStyle w:val="Strong"/>
                      <w:rFonts w:ascii="Verdana" w:hAnsi="Verdana" w:cs="Verdana"/>
                      <w:b w:val="0"/>
                      <w:bCs w:val="0"/>
                      <w:i/>
                      <w:iCs/>
                      <w:sz w:val="18"/>
                      <w:szCs w:val="18"/>
                    </w:rPr>
                    <w:t>Moins de 15 = dénutrition</w:t>
                  </w:r>
                  <w:r w:rsidRPr="006D0351">
                    <w:rPr>
                      <w:rFonts w:ascii="Verdana" w:hAnsi="Verdana" w:cs="Verdana"/>
                      <w:b/>
                      <w:bCs/>
                      <w:i/>
                      <w:iCs/>
                      <w:sz w:val="18"/>
                      <w:szCs w:val="18"/>
                    </w:rPr>
                    <w:br/>
                  </w:r>
                  <w:r w:rsidRPr="006D0351">
                    <w:rPr>
                      <w:rStyle w:val="Strong"/>
                      <w:rFonts w:ascii="Verdana" w:hAnsi="Verdana" w:cs="Verdana"/>
                      <w:b w:val="0"/>
                      <w:bCs w:val="0"/>
                      <w:i/>
                      <w:iCs/>
                      <w:sz w:val="18"/>
                      <w:szCs w:val="18"/>
                    </w:rPr>
                    <w:t>de 15 à 18,5 = maigreur.</w:t>
                  </w:r>
                  <w:r w:rsidRPr="006D0351">
                    <w:rPr>
                      <w:rFonts w:ascii="Verdana" w:hAnsi="Verdana" w:cs="Verdana"/>
                      <w:b/>
                      <w:bCs/>
                      <w:i/>
                      <w:iCs/>
                      <w:sz w:val="18"/>
                      <w:szCs w:val="18"/>
                    </w:rPr>
                    <w:br/>
                  </w:r>
                  <w:r w:rsidRPr="006D0351">
                    <w:rPr>
                      <w:rStyle w:val="Strong"/>
                      <w:rFonts w:ascii="Verdana" w:hAnsi="Verdana" w:cs="Verdana"/>
                      <w:b w:val="0"/>
                      <w:bCs w:val="0"/>
                      <w:i/>
                      <w:iCs/>
                      <w:sz w:val="18"/>
                      <w:szCs w:val="18"/>
                    </w:rPr>
                    <w:t>18,5 à 25 = corpulence normale</w:t>
                  </w:r>
                  <w:r w:rsidRPr="006D0351">
                    <w:rPr>
                      <w:rFonts w:ascii="Verdana" w:hAnsi="Verdana" w:cs="Verdana"/>
                      <w:b/>
                      <w:bCs/>
                      <w:i/>
                      <w:iCs/>
                      <w:sz w:val="18"/>
                      <w:szCs w:val="18"/>
                    </w:rPr>
                    <w:br/>
                  </w:r>
                  <w:r w:rsidRPr="006D0351">
                    <w:rPr>
                      <w:rStyle w:val="Strong"/>
                      <w:rFonts w:ascii="Verdana" w:hAnsi="Verdana" w:cs="Verdana"/>
                      <w:b w:val="0"/>
                      <w:bCs w:val="0"/>
                      <w:i/>
                      <w:iCs/>
                      <w:sz w:val="18"/>
                      <w:szCs w:val="18"/>
                    </w:rPr>
                    <w:t>25 à 30 = surpoids</w:t>
                  </w:r>
                  <w:r w:rsidRPr="006D0351">
                    <w:rPr>
                      <w:rFonts w:ascii="Verdana" w:hAnsi="Verdana" w:cs="Verdana"/>
                      <w:b/>
                      <w:bCs/>
                      <w:i/>
                      <w:iCs/>
                      <w:sz w:val="18"/>
                      <w:szCs w:val="18"/>
                    </w:rPr>
                    <w:br/>
                  </w:r>
                  <w:r w:rsidRPr="006D0351">
                    <w:rPr>
                      <w:rStyle w:val="Strong"/>
                      <w:rFonts w:ascii="Verdana" w:hAnsi="Verdana" w:cs="Verdana"/>
                      <w:b w:val="0"/>
                      <w:bCs w:val="0"/>
                      <w:i/>
                      <w:iCs/>
                      <w:sz w:val="18"/>
                      <w:szCs w:val="18"/>
                    </w:rPr>
                    <w:t>30 à 35 = obésité modérée</w:t>
                  </w:r>
                  <w:r w:rsidRPr="006D0351">
                    <w:rPr>
                      <w:rFonts w:ascii="Verdana" w:hAnsi="Verdana" w:cs="Verdana"/>
                      <w:b/>
                      <w:bCs/>
                      <w:i/>
                      <w:iCs/>
                      <w:sz w:val="18"/>
                      <w:szCs w:val="18"/>
                    </w:rPr>
                    <w:br/>
                  </w:r>
                  <w:r w:rsidRPr="006D0351">
                    <w:rPr>
                      <w:rStyle w:val="Strong"/>
                      <w:rFonts w:ascii="Verdana" w:hAnsi="Verdana" w:cs="Verdana"/>
                      <w:b w:val="0"/>
                      <w:bCs w:val="0"/>
                      <w:i/>
                      <w:iCs/>
                      <w:sz w:val="18"/>
                      <w:szCs w:val="18"/>
                    </w:rPr>
                    <w:t>35 à 40 = obésité sévère</w:t>
                  </w:r>
                  <w:r w:rsidRPr="006D0351">
                    <w:rPr>
                      <w:rFonts w:ascii="Verdana" w:hAnsi="Verdana" w:cs="Verdana"/>
                      <w:b/>
                      <w:bCs/>
                      <w:i/>
                      <w:iCs/>
                      <w:sz w:val="18"/>
                      <w:szCs w:val="18"/>
                    </w:rPr>
                    <w:br/>
                  </w:r>
                  <w:r w:rsidRPr="006D0351">
                    <w:rPr>
                      <w:rStyle w:val="Strong"/>
                      <w:rFonts w:ascii="Verdana" w:hAnsi="Verdana" w:cs="Verdana"/>
                      <w:b w:val="0"/>
                      <w:bCs w:val="0"/>
                      <w:i/>
                      <w:iCs/>
                      <w:sz w:val="18"/>
                      <w:szCs w:val="18"/>
                    </w:rPr>
                    <w:t>+ de 40 = obésité massive</w:t>
                  </w:r>
                </w:p>
                <w:p w:rsidR="00675746" w:rsidRDefault="00675746" w:rsidP="00F519B4"/>
              </w:txbxContent>
            </v:textbox>
          </v:rect>
        </w:pict>
      </w:r>
      <w:r>
        <w:rPr>
          <w:b/>
          <w:bCs/>
        </w:rPr>
        <w:t xml:space="preserve">Q3. </w:t>
      </w:r>
      <w:r w:rsidRPr="00F519B4">
        <w:rPr>
          <w:b/>
          <w:bCs/>
        </w:rPr>
        <w:t xml:space="preserve">L’indice de Masse Corporelle (IMC) permet de déterminer s’il existe un surpoids ou une dénutrition, ou si le poids de l’individu est normal. C’est un calcul qui se base sur la taille et le poids de la personne selon la formule suivante : </w:t>
      </w:r>
    </w:p>
    <w:p w:rsidR="00675746" w:rsidRPr="001A5E08" w:rsidRDefault="00675746" w:rsidP="00F519B4">
      <w:pPr>
        <w:ind w:left="1134" w:firstLine="708"/>
        <w:rPr>
          <w:b/>
          <w:bCs/>
        </w:rPr>
      </w:pPr>
      <w:r w:rsidRPr="001A5E08">
        <w:rPr>
          <w:b/>
          <w:bCs/>
        </w:rPr>
        <w:t>IMC = POIDS / (TAILLE x TAILLE)</w:t>
      </w:r>
    </w:p>
    <w:p w:rsidR="00675746" w:rsidRPr="00CA7514" w:rsidRDefault="00675746" w:rsidP="00F519B4">
      <w:pPr>
        <w:ind w:left="709"/>
        <w:rPr>
          <w:b/>
          <w:bCs/>
          <w:u w:val="single"/>
        </w:rPr>
      </w:pPr>
      <w:r w:rsidRPr="00CA7514">
        <w:rPr>
          <w:b/>
          <w:bCs/>
        </w:rPr>
        <w:t>Poids en kg et taille en m</w:t>
      </w:r>
      <w:r w:rsidRPr="00CA7514">
        <w:rPr>
          <w:b/>
          <w:bCs/>
          <w:u w:val="single"/>
        </w:rPr>
        <w:t xml:space="preserve"> (Attention ce calcul n’a de valeur que</w:t>
      </w:r>
    </w:p>
    <w:p w:rsidR="00675746" w:rsidRPr="00CA7514" w:rsidRDefault="00675746" w:rsidP="00F519B4">
      <w:pPr>
        <w:ind w:left="709"/>
        <w:rPr>
          <w:b/>
          <w:bCs/>
          <w:u w:val="single"/>
        </w:rPr>
      </w:pPr>
      <w:r w:rsidRPr="00CA7514">
        <w:rPr>
          <w:b/>
          <w:bCs/>
          <w:u w:val="single"/>
        </w:rPr>
        <w:t>pour les individus</w:t>
      </w:r>
      <w:r>
        <w:rPr>
          <w:b/>
          <w:bCs/>
          <w:u w:val="single"/>
        </w:rPr>
        <w:t xml:space="preserve"> âgés</w:t>
      </w:r>
      <w:r w:rsidRPr="00CA7514">
        <w:rPr>
          <w:b/>
          <w:bCs/>
          <w:u w:val="single"/>
        </w:rPr>
        <w:t xml:space="preserve"> de 18 à 65 ans)</w:t>
      </w:r>
    </w:p>
    <w:p w:rsidR="00675746" w:rsidRDefault="00675746" w:rsidP="00F519B4">
      <w:pPr>
        <w:rPr>
          <w:b/>
          <w:bCs/>
        </w:rPr>
      </w:pPr>
    </w:p>
    <w:p w:rsidR="00675746" w:rsidRDefault="00675746" w:rsidP="00F519B4">
      <w:r w:rsidRPr="001A5E08">
        <w:rPr>
          <w:b/>
          <w:bCs/>
        </w:rPr>
        <w:t xml:space="preserve">Calculer l’IMC des trois filles et indiquer son interprétation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1572"/>
        <w:gridCol w:w="1595"/>
        <w:gridCol w:w="1678"/>
        <w:gridCol w:w="2553"/>
      </w:tblGrid>
      <w:tr w:rsidR="00675746" w:rsidRPr="00C35906">
        <w:tc>
          <w:tcPr>
            <w:tcW w:w="2121" w:type="dxa"/>
          </w:tcPr>
          <w:p w:rsidR="00675746" w:rsidRPr="00C35906" w:rsidRDefault="00675746" w:rsidP="00C35906">
            <w:pPr>
              <w:spacing w:after="0" w:line="240" w:lineRule="auto"/>
              <w:jc w:val="center"/>
            </w:pPr>
          </w:p>
        </w:tc>
        <w:tc>
          <w:tcPr>
            <w:tcW w:w="1815" w:type="dxa"/>
          </w:tcPr>
          <w:p w:rsidR="00675746" w:rsidRPr="00C35906" w:rsidRDefault="00675746" w:rsidP="00C35906">
            <w:pPr>
              <w:spacing w:after="0" w:line="240" w:lineRule="auto"/>
              <w:jc w:val="center"/>
              <w:rPr>
                <w:b/>
                <w:bCs/>
              </w:rPr>
            </w:pPr>
            <w:r w:rsidRPr="00C35906">
              <w:rPr>
                <w:b/>
                <w:bCs/>
              </w:rPr>
              <w:t>Taille en m</w:t>
            </w:r>
          </w:p>
        </w:tc>
        <w:tc>
          <w:tcPr>
            <w:tcW w:w="1842" w:type="dxa"/>
          </w:tcPr>
          <w:p w:rsidR="00675746" w:rsidRPr="00C35906" w:rsidRDefault="00675746" w:rsidP="00C35906">
            <w:pPr>
              <w:spacing w:after="0" w:line="240" w:lineRule="auto"/>
              <w:jc w:val="center"/>
              <w:rPr>
                <w:b/>
                <w:bCs/>
              </w:rPr>
            </w:pPr>
            <w:r w:rsidRPr="00C35906">
              <w:rPr>
                <w:b/>
                <w:bCs/>
              </w:rPr>
              <w:t>Poids en kg</w:t>
            </w:r>
          </w:p>
        </w:tc>
        <w:tc>
          <w:tcPr>
            <w:tcW w:w="1985" w:type="dxa"/>
          </w:tcPr>
          <w:p w:rsidR="00675746" w:rsidRPr="00C35906" w:rsidRDefault="00675746" w:rsidP="00C35906">
            <w:pPr>
              <w:spacing w:after="0" w:line="240" w:lineRule="auto"/>
              <w:jc w:val="center"/>
              <w:rPr>
                <w:b/>
                <w:bCs/>
              </w:rPr>
            </w:pPr>
            <w:r w:rsidRPr="00C35906">
              <w:rPr>
                <w:b/>
                <w:bCs/>
              </w:rPr>
              <w:t>IMC</w:t>
            </w:r>
          </w:p>
        </w:tc>
        <w:tc>
          <w:tcPr>
            <w:tcW w:w="2843" w:type="dxa"/>
          </w:tcPr>
          <w:p w:rsidR="00675746" w:rsidRPr="00C35906" w:rsidRDefault="00675746" w:rsidP="00C35906">
            <w:pPr>
              <w:spacing w:after="0" w:line="240" w:lineRule="auto"/>
              <w:jc w:val="center"/>
              <w:rPr>
                <w:b/>
                <w:bCs/>
              </w:rPr>
            </w:pPr>
            <w:r w:rsidRPr="00C35906">
              <w:rPr>
                <w:b/>
                <w:bCs/>
              </w:rPr>
              <w:t>Interprétation</w:t>
            </w:r>
          </w:p>
        </w:tc>
      </w:tr>
      <w:tr w:rsidR="00675746" w:rsidRPr="00C35906">
        <w:tc>
          <w:tcPr>
            <w:tcW w:w="2121" w:type="dxa"/>
          </w:tcPr>
          <w:p w:rsidR="00675746" w:rsidRPr="00C35906" w:rsidRDefault="00675746" w:rsidP="00C35906">
            <w:pPr>
              <w:spacing w:after="0" w:line="240" w:lineRule="auto"/>
              <w:jc w:val="center"/>
              <w:rPr>
                <w:b/>
                <w:bCs/>
              </w:rPr>
            </w:pPr>
            <w:r w:rsidRPr="00C35906">
              <w:rPr>
                <w:b/>
                <w:bCs/>
              </w:rPr>
              <w:t>Julie</w:t>
            </w:r>
          </w:p>
        </w:tc>
        <w:tc>
          <w:tcPr>
            <w:tcW w:w="1815" w:type="dxa"/>
          </w:tcPr>
          <w:p w:rsidR="00675746" w:rsidRPr="00C35906" w:rsidRDefault="00675746" w:rsidP="00C35906">
            <w:pPr>
              <w:spacing w:after="0" w:line="240" w:lineRule="auto"/>
              <w:jc w:val="center"/>
            </w:pPr>
            <w:r w:rsidRPr="00C35906">
              <w:t>1.69</w:t>
            </w:r>
          </w:p>
        </w:tc>
        <w:tc>
          <w:tcPr>
            <w:tcW w:w="1842" w:type="dxa"/>
          </w:tcPr>
          <w:p w:rsidR="00675746" w:rsidRPr="00C35906" w:rsidRDefault="00675746" w:rsidP="00C35906">
            <w:pPr>
              <w:spacing w:after="0" w:line="240" w:lineRule="auto"/>
              <w:jc w:val="center"/>
            </w:pPr>
            <w:r w:rsidRPr="00C35906">
              <w:t>48</w:t>
            </w:r>
          </w:p>
        </w:tc>
        <w:tc>
          <w:tcPr>
            <w:tcW w:w="1985" w:type="dxa"/>
          </w:tcPr>
          <w:p w:rsidR="00675746" w:rsidRPr="00C35906" w:rsidRDefault="00675746" w:rsidP="00C35906">
            <w:pPr>
              <w:spacing w:after="0" w:line="240" w:lineRule="auto"/>
            </w:pPr>
          </w:p>
        </w:tc>
        <w:tc>
          <w:tcPr>
            <w:tcW w:w="2843" w:type="dxa"/>
          </w:tcPr>
          <w:p w:rsidR="00675746" w:rsidRPr="00C35906" w:rsidRDefault="00675746" w:rsidP="00C35906">
            <w:pPr>
              <w:spacing w:after="0" w:line="240" w:lineRule="auto"/>
            </w:pPr>
          </w:p>
        </w:tc>
      </w:tr>
      <w:tr w:rsidR="00675746" w:rsidRPr="00C35906">
        <w:tc>
          <w:tcPr>
            <w:tcW w:w="2121" w:type="dxa"/>
          </w:tcPr>
          <w:p w:rsidR="00675746" w:rsidRPr="00C35906" w:rsidRDefault="00675746" w:rsidP="00C35906">
            <w:pPr>
              <w:spacing w:after="0" w:line="240" w:lineRule="auto"/>
              <w:jc w:val="center"/>
              <w:rPr>
                <w:b/>
                <w:bCs/>
              </w:rPr>
            </w:pPr>
            <w:r w:rsidRPr="00C35906">
              <w:rPr>
                <w:b/>
                <w:bCs/>
              </w:rPr>
              <w:t>Pascaline</w:t>
            </w:r>
          </w:p>
        </w:tc>
        <w:tc>
          <w:tcPr>
            <w:tcW w:w="1815" w:type="dxa"/>
          </w:tcPr>
          <w:p w:rsidR="00675746" w:rsidRPr="00C35906" w:rsidRDefault="00675746" w:rsidP="00C35906">
            <w:pPr>
              <w:spacing w:after="0" w:line="240" w:lineRule="auto"/>
              <w:jc w:val="center"/>
            </w:pPr>
            <w:r w:rsidRPr="00C35906">
              <w:t>1.65</w:t>
            </w:r>
          </w:p>
        </w:tc>
        <w:tc>
          <w:tcPr>
            <w:tcW w:w="1842" w:type="dxa"/>
          </w:tcPr>
          <w:p w:rsidR="00675746" w:rsidRPr="00C35906" w:rsidRDefault="00675746" w:rsidP="00C35906">
            <w:pPr>
              <w:spacing w:after="0" w:line="240" w:lineRule="auto"/>
              <w:jc w:val="center"/>
            </w:pPr>
            <w:r w:rsidRPr="00C35906">
              <w:t>71</w:t>
            </w:r>
          </w:p>
        </w:tc>
        <w:tc>
          <w:tcPr>
            <w:tcW w:w="1985" w:type="dxa"/>
          </w:tcPr>
          <w:p w:rsidR="00675746" w:rsidRPr="00C35906" w:rsidRDefault="00675746" w:rsidP="00C35906">
            <w:pPr>
              <w:spacing w:after="0" w:line="240" w:lineRule="auto"/>
            </w:pPr>
          </w:p>
        </w:tc>
        <w:tc>
          <w:tcPr>
            <w:tcW w:w="2843" w:type="dxa"/>
          </w:tcPr>
          <w:p w:rsidR="00675746" w:rsidRPr="00C35906" w:rsidRDefault="00675746" w:rsidP="00C35906">
            <w:pPr>
              <w:spacing w:after="0" w:line="240" w:lineRule="auto"/>
            </w:pPr>
          </w:p>
        </w:tc>
      </w:tr>
      <w:tr w:rsidR="00675746" w:rsidRPr="00C35906">
        <w:tc>
          <w:tcPr>
            <w:tcW w:w="2121" w:type="dxa"/>
          </w:tcPr>
          <w:p w:rsidR="00675746" w:rsidRPr="00C35906" w:rsidRDefault="00675746" w:rsidP="00C35906">
            <w:pPr>
              <w:spacing w:after="0" w:line="240" w:lineRule="auto"/>
              <w:jc w:val="center"/>
              <w:rPr>
                <w:b/>
                <w:bCs/>
              </w:rPr>
            </w:pPr>
            <w:r w:rsidRPr="00C35906">
              <w:rPr>
                <w:b/>
                <w:bCs/>
              </w:rPr>
              <w:t>Déborah</w:t>
            </w:r>
          </w:p>
        </w:tc>
        <w:tc>
          <w:tcPr>
            <w:tcW w:w="1815" w:type="dxa"/>
          </w:tcPr>
          <w:p w:rsidR="00675746" w:rsidRPr="00C35906" w:rsidRDefault="00675746" w:rsidP="00C35906">
            <w:pPr>
              <w:spacing w:after="0" w:line="240" w:lineRule="auto"/>
              <w:jc w:val="center"/>
            </w:pPr>
            <w:r w:rsidRPr="00C35906">
              <w:t>1.70</w:t>
            </w:r>
          </w:p>
        </w:tc>
        <w:tc>
          <w:tcPr>
            <w:tcW w:w="1842" w:type="dxa"/>
          </w:tcPr>
          <w:p w:rsidR="00675746" w:rsidRPr="00C35906" w:rsidRDefault="00675746" w:rsidP="00C35906">
            <w:pPr>
              <w:spacing w:after="0" w:line="240" w:lineRule="auto"/>
              <w:jc w:val="center"/>
            </w:pPr>
            <w:r w:rsidRPr="00C35906">
              <w:t>61</w:t>
            </w:r>
          </w:p>
        </w:tc>
        <w:tc>
          <w:tcPr>
            <w:tcW w:w="1985" w:type="dxa"/>
          </w:tcPr>
          <w:p w:rsidR="00675746" w:rsidRPr="00C35906" w:rsidRDefault="00675746" w:rsidP="00C35906">
            <w:pPr>
              <w:spacing w:after="0" w:line="240" w:lineRule="auto"/>
            </w:pPr>
          </w:p>
        </w:tc>
        <w:tc>
          <w:tcPr>
            <w:tcW w:w="2843" w:type="dxa"/>
          </w:tcPr>
          <w:p w:rsidR="00675746" w:rsidRPr="00C35906" w:rsidRDefault="00675746" w:rsidP="00C35906">
            <w:pPr>
              <w:spacing w:after="0" w:line="240" w:lineRule="auto"/>
            </w:pPr>
          </w:p>
        </w:tc>
      </w:tr>
    </w:tbl>
    <w:p w:rsidR="00675746" w:rsidRDefault="00675746" w:rsidP="00F519B4">
      <w:pPr>
        <w:rPr>
          <w:b/>
          <w:bCs/>
        </w:rPr>
      </w:pPr>
      <w:r>
        <w:rPr>
          <w:b/>
          <w:bCs/>
        </w:rPr>
        <w:t xml:space="preserve">Q4. </w:t>
      </w:r>
      <w:r w:rsidRPr="00F519B4">
        <w:rPr>
          <w:b/>
          <w:bCs/>
        </w:rPr>
        <w:t>Les résultats sont-ils en accord avec la réponse de la question 2 ?</w:t>
      </w:r>
    </w:p>
    <w:p w:rsidR="00675746" w:rsidRDefault="00675746" w:rsidP="00F519B4">
      <w:pPr>
        <w:rPr>
          <w:b/>
          <w:bCs/>
        </w:rPr>
      </w:pPr>
    </w:p>
    <w:p w:rsidR="00675746" w:rsidRDefault="00675746" w:rsidP="00F519B4">
      <w:pPr>
        <w:rPr>
          <w:b/>
          <w:bCs/>
          <w:u w:val="single"/>
        </w:rPr>
      </w:pPr>
      <w:r w:rsidRPr="00443F2C">
        <w:rPr>
          <w:b/>
          <w:bCs/>
          <w:u w:val="single"/>
        </w:rPr>
        <w:t>Exercice 3 :</w:t>
      </w:r>
      <w:r>
        <w:rPr>
          <w:b/>
          <w:bCs/>
          <w:u w:val="single"/>
        </w:rPr>
        <w:t xml:space="preserve"> le menu du jour est-il équilibré ?</w:t>
      </w:r>
    </w:p>
    <w:p w:rsidR="00675746" w:rsidRDefault="00675746" w:rsidP="00F519B4">
      <w:pPr>
        <w:rPr>
          <w:b/>
          <w:bCs/>
        </w:rPr>
      </w:pPr>
      <w:r w:rsidRPr="00D60E2D">
        <w:rPr>
          <w:b/>
          <w:bCs/>
          <w:noProof/>
          <w:lang w:eastAsia="fr-FR"/>
        </w:rPr>
        <w:pict>
          <v:shape id="Image 4" o:spid="_x0000_i1027" type="#_x0000_t75" style="width:453.75pt;height:263.25pt;visibility:visible">
            <v:imagedata r:id="rId7" o:title=""/>
          </v:shape>
        </w:pict>
      </w:r>
    </w:p>
    <w:p w:rsidR="00675746" w:rsidRPr="00764C60" w:rsidRDefault="00675746" w:rsidP="00764C60">
      <w:pPr>
        <w:rPr>
          <w:b/>
          <w:bCs/>
          <w:noProof/>
          <w:lang w:eastAsia="fr-FR"/>
        </w:rPr>
      </w:pPr>
      <w:r>
        <w:rPr>
          <w:b/>
          <w:bCs/>
          <w:noProof/>
          <w:lang w:eastAsia="fr-FR"/>
        </w:rPr>
        <w:t xml:space="preserve">Q1. </w:t>
      </w:r>
      <w:r w:rsidRPr="00764C60">
        <w:rPr>
          <w:b/>
          <w:bCs/>
          <w:noProof/>
          <w:lang w:eastAsia="fr-FR"/>
        </w:rPr>
        <w:t>Calculer l’apport énergétique de chacun des aliments qui composent ce menu.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1974"/>
        <w:gridCol w:w="1983"/>
        <w:gridCol w:w="2062"/>
      </w:tblGrid>
      <w:tr w:rsidR="00675746" w:rsidRPr="00C35906">
        <w:tc>
          <w:tcPr>
            <w:tcW w:w="2549" w:type="dxa"/>
          </w:tcPr>
          <w:p w:rsidR="00675746" w:rsidRPr="00C35906" w:rsidRDefault="00675746" w:rsidP="00C35906">
            <w:pPr>
              <w:pStyle w:val="ListParagraph"/>
              <w:ind w:left="0"/>
              <w:jc w:val="center"/>
              <w:rPr>
                <w:b/>
                <w:bCs/>
                <w:noProof/>
                <w:lang w:eastAsia="fr-FR"/>
              </w:rPr>
            </w:pPr>
            <w:r w:rsidRPr="00C35906">
              <w:rPr>
                <w:b/>
                <w:bCs/>
                <w:noProof/>
                <w:lang w:eastAsia="fr-FR"/>
              </w:rPr>
              <w:t>Aliments du menu</w:t>
            </w:r>
          </w:p>
        </w:tc>
        <w:tc>
          <w:tcPr>
            <w:tcW w:w="1974" w:type="dxa"/>
          </w:tcPr>
          <w:p w:rsidR="00675746" w:rsidRPr="00C35906" w:rsidRDefault="00675746" w:rsidP="00C35906">
            <w:pPr>
              <w:pStyle w:val="ListParagraph"/>
              <w:ind w:left="0"/>
              <w:jc w:val="center"/>
              <w:rPr>
                <w:b/>
                <w:bCs/>
                <w:noProof/>
                <w:lang w:eastAsia="fr-FR"/>
              </w:rPr>
            </w:pPr>
            <w:r w:rsidRPr="00C35906">
              <w:rPr>
                <w:b/>
                <w:bCs/>
                <w:noProof/>
                <w:lang w:eastAsia="fr-FR"/>
              </w:rPr>
              <w:t>Apport énergétique pour 100 g</w:t>
            </w:r>
          </w:p>
        </w:tc>
        <w:tc>
          <w:tcPr>
            <w:tcW w:w="1983" w:type="dxa"/>
          </w:tcPr>
          <w:p w:rsidR="00675746" w:rsidRPr="00C35906" w:rsidRDefault="00675746" w:rsidP="00C35906">
            <w:pPr>
              <w:pStyle w:val="ListParagraph"/>
              <w:ind w:left="0"/>
              <w:jc w:val="center"/>
              <w:rPr>
                <w:b/>
                <w:bCs/>
                <w:noProof/>
                <w:lang w:eastAsia="fr-FR"/>
              </w:rPr>
            </w:pPr>
            <w:r w:rsidRPr="00C35906">
              <w:rPr>
                <w:b/>
                <w:bCs/>
                <w:noProof/>
                <w:lang w:eastAsia="fr-FR"/>
              </w:rPr>
              <w:t>Quantité dans le menu</w:t>
            </w:r>
          </w:p>
        </w:tc>
        <w:tc>
          <w:tcPr>
            <w:tcW w:w="2062" w:type="dxa"/>
          </w:tcPr>
          <w:p w:rsidR="00675746" w:rsidRPr="00C35906" w:rsidRDefault="00675746" w:rsidP="00C35906">
            <w:pPr>
              <w:pStyle w:val="ListParagraph"/>
              <w:ind w:left="0"/>
              <w:jc w:val="center"/>
              <w:rPr>
                <w:b/>
                <w:bCs/>
                <w:noProof/>
                <w:lang w:eastAsia="fr-FR"/>
              </w:rPr>
            </w:pPr>
            <w:r w:rsidRPr="00C35906">
              <w:rPr>
                <w:b/>
                <w:bCs/>
                <w:noProof/>
                <w:lang w:eastAsia="fr-FR"/>
              </w:rPr>
              <w:t>Apport énergétique pour cette quantité</w:t>
            </w:r>
          </w:p>
        </w:tc>
      </w:tr>
      <w:tr w:rsidR="00675746" w:rsidRPr="00C35906">
        <w:trPr>
          <w:trHeight w:val="284"/>
        </w:trPr>
        <w:tc>
          <w:tcPr>
            <w:tcW w:w="2549" w:type="dxa"/>
            <w:vAlign w:val="center"/>
          </w:tcPr>
          <w:p w:rsidR="00675746" w:rsidRPr="00C35906" w:rsidRDefault="00675746" w:rsidP="00C35906">
            <w:pPr>
              <w:pStyle w:val="ListParagraph"/>
              <w:ind w:left="0"/>
              <w:rPr>
                <w:noProof/>
                <w:sz w:val="20"/>
                <w:szCs w:val="20"/>
                <w:lang w:eastAsia="fr-FR"/>
              </w:rPr>
            </w:pPr>
            <w:r w:rsidRPr="00C35906">
              <w:rPr>
                <w:noProof/>
                <w:sz w:val="20"/>
                <w:szCs w:val="20"/>
                <w:lang w:eastAsia="fr-FR"/>
              </w:rPr>
              <w:t>Exemple : Salade de tomate</w:t>
            </w:r>
          </w:p>
        </w:tc>
        <w:tc>
          <w:tcPr>
            <w:tcW w:w="1974" w:type="dxa"/>
            <w:vAlign w:val="center"/>
          </w:tcPr>
          <w:p w:rsidR="00675746" w:rsidRPr="00C35906" w:rsidRDefault="00675746" w:rsidP="00C35906">
            <w:pPr>
              <w:pStyle w:val="ListParagraph"/>
              <w:ind w:left="0"/>
              <w:jc w:val="center"/>
              <w:rPr>
                <w:noProof/>
                <w:sz w:val="20"/>
                <w:szCs w:val="20"/>
                <w:lang w:eastAsia="fr-FR"/>
              </w:rPr>
            </w:pPr>
            <w:r w:rsidRPr="00C35906">
              <w:rPr>
                <w:noProof/>
                <w:sz w:val="20"/>
                <w:szCs w:val="20"/>
                <w:lang w:eastAsia="fr-FR"/>
              </w:rPr>
              <w:t>96 kJ</w:t>
            </w:r>
          </w:p>
        </w:tc>
        <w:tc>
          <w:tcPr>
            <w:tcW w:w="1983" w:type="dxa"/>
            <w:vAlign w:val="center"/>
          </w:tcPr>
          <w:p w:rsidR="00675746" w:rsidRPr="00C35906" w:rsidRDefault="00675746" w:rsidP="00C35906">
            <w:pPr>
              <w:pStyle w:val="ListParagraph"/>
              <w:ind w:left="0"/>
              <w:jc w:val="center"/>
              <w:rPr>
                <w:noProof/>
                <w:sz w:val="20"/>
                <w:szCs w:val="20"/>
                <w:lang w:eastAsia="fr-FR"/>
              </w:rPr>
            </w:pPr>
            <w:r w:rsidRPr="00C35906">
              <w:rPr>
                <w:noProof/>
                <w:sz w:val="20"/>
                <w:szCs w:val="20"/>
                <w:lang w:eastAsia="fr-FR"/>
              </w:rPr>
              <w:t>50 g</w:t>
            </w:r>
          </w:p>
        </w:tc>
        <w:tc>
          <w:tcPr>
            <w:tcW w:w="2062" w:type="dxa"/>
            <w:vAlign w:val="center"/>
          </w:tcPr>
          <w:p w:rsidR="00675746" w:rsidRPr="00C35906" w:rsidRDefault="00675746" w:rsidP="00C35906">
            <w:pPr>
              <w:pStyle w:val="ListParagraph"/>
              <w:numPr>
                <w:ilvl w:val="0"/>
                <w:numId w:val="3"/>
              </w:numPr>
              <w:jc w:val="center"/>
              <w:rPr>
                <w:noProof/>
                <w:sz w:val="20"/>
                <w:szCs w:val="20"/>
                <w:lang w:eastAsia="fr-FR"/>
              </w:rPr>
            </w:pPr>
            <w:r w:rsidRPr="00C35906">
              <w:rPr>
                <w:noProof/>
                <w:sz w:val="20"/>
                <w:szCs w:val="20"/>
                <w:lang w:eastAsia="fr-FR"/>
              </w:rPr>
              <w:t>kJ</w:t>
            </w:r>
          </w:p>
        </w:tc>
      </w:tr>
    </w:tbl>
    <w:p w:rsidR="00675746" w:rsidRDefault="00675746" w:rsidP="00764C60">
      <w:pPr>
        <w:pStyle w:val="ListParagraph"/>
        <w:rPr>
          <w:noProof/>
          <w:lang w:eastAsia="fr-FR"/>
        </w:rPr>
      </w:pPr>
    </w:p>
    <w:p w:rsidR="00675746" w:rsidRPr="00764C60" w:rsidRDefault="00675746" w:rsidP="00764C60">
      <w:pPr>
        <w:rPr>
          <w:b/>
          <w:bCs/>
          <w:noProof/>
          <w:lang w:eastAsia="fr-FR"/>
        </w:rPr>
      </w:pPr>
      <w:r>
        <w:rPr>
          <w:b/>
          <w:bCs/>
          <w:noProof/>
          <w:lang w:eastAsia="fr-FR"/>
        </w:rPr>
        <w:t xml:space="preserve">Q2. </w:t>
      </w:r>
      <w:r w:rsidRPr="00764C60">
        <w:rPr>
          <w:b/>
          <w:bCs/>
          <w:noProof/>
          <w:lang w:eastAsia="fr-FR"/>
        </w:rPr>
        <w:t>Calculer la quantité totale d’énergie apportée par ce repas.</w:t>
      </w:r>
    </w:p>
    <w:p w:rsidR="00675746" w:rsidRPr="00764C60" w:rsidRDefault="00675746" w:rsidP="00764C60">
      <w:pPr>
        <w:jc w:val="both"/>
        <w:rPr>
          <w:b/>
          <w:bCs/>
          <w:noProof/>
          <w:lang w:eastAsia="fr-FR"/>
        </w:rPr>
      </w:pPr>
      <w:r>
        <w:rPr>
          <w:b/>
          <w:bCs/>
          <w:noProof/>
          <w:lang w:eastAsia="fr-FR"/>
        </w:rPr>
        <w:t xml:space="preserve">Q3. </w:t>
      </w:r>
      <w:r w:rsidRPr="00764C60">
        <w:rPr>
          <w:b/>
          <w:bCs/>
          <w:noProof/>
          <w:lang w:eastAsia="fr-FR"/>
        </w:rPr>
        <w:t>L’apport énergétique quotidien nécessaire à un adolescent est en moyenne de 10 000 kJ. Le déjeuner représente environ 30% de cet apport quotidien. Ce repas apporte-il une quantité d’énergie suffisante, excessive, ou insuffisante ? Justifier.</w:t>
      </w:r>
    </w:p>
    <w:p w:rsidR="00675746" w:rsidRPr="001A5E08" w:rsidRDefault="00675746" w:rsidP="00764C60">
      <w:pPr>
        <w:pStyle w:val="ListParagraph"/>
        <w:rPr>
          <w:b/>
          <w:bCs/>
          <w:noProof/>
          <w:lang w:eastAsia="fr-FR"/>
        </w:rPr>
      </w:pPr>
    </w:p>
    <w:p w:rsidR="00675746" w:rsidRPr="00764C60" w:rsidRDefault="00675746" w:rsidP="00764C60">
      <w:pPr>
        <w:pStyle w:val="ListParagraph"/>
        <w:ind w:left="1080"/>
        <w:rPr>
          <w:b/>
          <w:bCs/>
          <w:noProof/>
          <w:lang w:eastAsia="fr-FR"/>
        </w:rPr>
      </w:pPr>
      <w:r>
        <w:rPr>
          <w:b/>
          <w:bCs/>
          <w:noProof/>
          <w:lang w:eastAsia="fr-FR"/>
        </w:rPr>
        <w:t>Remarque</w:t>
      </w:r>
      <w:r w:rsidRPr="001A5E08">
        <w:rPr>
          <w:b/>
          <w:bCs/>
          <w:noProof/>
          <w:lang w:eastAsia="fr-FR"/>
        </w:rPr>
        <w:t> : 30% de 10 000 kJ = 3000 kJ</w:t>
      </w:r>
    </w:p>
    <w:sectPr w:rsidR="00675746" w:rsidRPr="00764C60" w:rsidSect="00764C60">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158"/>
    <w:multiLevelType w:val="hybridMultilevel"/>
    <w:tmpl w:val="F2961BA4"/>
    <w:lvl w:ilvl="0" w:tplc="89AE431C">
      <w:start w:val="4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FB2931"/>
    <w:multiLevelType w:val="hybridMultilevel"/>
    <w:tmpl w:val="7A580A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0D86F78"/>
    <w:multiLevelType w:val="hybridMultilevel"/>
    <w:tmpl w:val="4B02EF74"/>
    <w:lvl w:ilvl="0" w:tplc="284C51D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BE4"/>
    <w:rsid w:val="001A5E08"/>
    <w:rsid w:val="001D12B9"/>
    <w:rsid w:val="001D6B52"/>
    <w:rsid w:val="001D6FF8"/>
    <w:rsid w:val="00265267"/>
    <w:rsid w:val="002F3FD1"/>
    <w:rsid w:val="00317F38"/>
    <w:rsid w:val="00374E77"/>
    <w:rsid w:val="00443F2C"/>
    <w:rsid w:val="00560BE4"/>
    <w:rsid w:val="00675746"/>
    <w:rsid w:val="006D0351"/>
    <w:rsid w:val="007137CA"/>
    <w:rsid w:val="00764C60"/>
    <w:rsid w:val="007800BC"/>
    <w:rsid w:val="009E53C9"/>
    <w:rsid w:val="00A6174A"/>
    <w:rsid w:val="00B411BF"/>
    <w:rsid w:val="00C35906"/>
    <w:rsid w:val="00CA7514"/>
    <w:rsid w:val="00D60E2D"/>
    <w:rsid w:val="00F04680"/>
    <w:rsid w:val="00F519B4"/>
    <w:rsid w:val="00FC41F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FF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BC"/>
    <w:rPr>
      <w:rFonts w:ascii="Tahoma" w:hAnsi="Tahoma" w:cs="Tahoma"/>
      <w:sz w:val="16"/>
      <w:szCs w:val="16"/>
    </w:rPr>
  </w:style>
  <w:style w:type="paragraph" w:styleId="ListParagraph">
    <w:name w:val="List Paragraph"/>
    <w:basedOn w:val="Normal"/>
    <w:uiPriority w:val="99"/>
    <w:qFormat/>
    <w:rsid w:val="00F519B4"/>
    <w:pPr>
      <w:spacing w:after="0" w:line="240" w:lineRule="auto"/>
      <w:ind w:left="720"/>
      <w:contextualSpacing/>
    </w:pPr>
  </w:style>
  <w:style w:type="character" w:styleId="Strong">
    <w:name w:val="Strong"/>
    <w:basedOn w:val="DefaultParagraphFont"/>
    <w:uiPriority w:val="99"/>
    <w:qFormat/>
    <w:rsid w:val="00F519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358</Words>
  <Characters>1969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dc:creator>
  <cp:keywords/>
  <dc:description/>
  <cp:lastModifiedBy>Professeurs</cp:lastModifiedBy>
  <cp:revision>13</cp:revision>
  <cp:lastPrinted>2014-04-28T05:28:00Z</cp:lastPrinted>
  <dcterms:created xsi:type="dcterms:W3CDTF">2013-05-27T21:06:00Z</dcterms:created>
  <dcterms:modified xsi:type="dcterms:W3CDTF">2014-04-28T05:31:00Z</dcterms:modified>
</cp:coreProperties>
</file>